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DCFA2" w14:textId="03BA3E30" w:rsidR="00385CEF" w:rsidRDefault="001C4BB7" w:rsidP="00385CEF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SZCZEGÓŁOWY </w:t>
      </w:r>
      <w:r w:rsidR="00385CEF" w:rsidRPr="00F63504">
        <w:rPr>
          <w:b/>
          <w:bCs/>
        </w:rPr>
        <w:t>OPIS PRZEDMIOTU ZAMÓWIENIA</w:t>
      </w:r>
    </w:p>
    <w:p w14:paraId="1F891322" w14:textId="77777777" w:rsidR="001C4BB7" w:rsidRPr="00F63504" w:rsidRDefault="001C4BB7" w:rsidP="00385CEF">
      <w:pPr>
        <w:pStyle w:val="Default"/>
        <w:jc w:val="center"/>
      </w:pPr>
    </w:p>
    <w:p w14:paraId="31EFF5C4" w14:textId="1E2DAAD6" w:rsidR="000674DA" w:rsidRDefault="001C4BB7" w:rsidP="00FB2192">
      <w:pPr>
        <w:jc w:val="center"/>
      </w:pPr>
      <w:r w:rsidRPr="00664521">
        <w:rPr>
          <w:b/>
          <w:bCs/>
          <w:u w:val="single"/>
        </w:rPr>
        <w:t>Część 1</w:t>
      </w:r>
      <w:r w:rsidRPr="00664521">
        <w:t xml:space="preserve">: </w:t>
      </w:r>
      <w:r w:rsidRPr="00664521">
        <w:rPr>
          <w:b/>
          <w:bCs/>
        </w:rPr>
        <w:t>Ciągnik rolniczy o mocy 220 - 260 KM, napęd 4x4.</w:t>
      </w:r>
    </w:p>
    <w:tbl>
      <w:tblPr>
        <w:tblW w:w="950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9500"/>
      </w:tblGrid>
      <w:tr w:rsidR="00BA3D46" w:rsidRPr="00BA3D46" w14:paraId="6D583519" w14:textId="77777777" w:rsidTr="0088011A">
        <w:trPr>
          <w:trHeight w:val="300"/>
        </w:trPr>
        <w:tc>
          <w:tcPr>
            <w:tcW w:w="9500" w:type="dxa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DB727" w14:textId="7DFC4E6F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CIĄGNIK ROLNICZY – stan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fabrycznie 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nowy, rok produkcji </w:t>
            </w:r>
            <w:r w:rsid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nie wcześniej niż 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2025;</w:t>
            </w:r>
          </w:p>
        </w:tc>
      </w:tr>
      <w:tr w:rsidR="00BA3D46" w:rsidRPr="00BA3D46" w14:paraId="6D7D09C8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9E96E" w14:textId="35E50827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Moc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znamionowa bez dodatkowej mocy </w:t>
            </w:r>
            <w:r w:rsidR="00617E6C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220</w:t>
            </w:r>
            <w:r w:rsidR="007A2B4E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– 260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KM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59176AE8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D425A" w14:textId="4AE02EB0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Dopuszczalna masa całkowita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brutto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(zakres)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1</w:t>
            </w:r>
            <w:r w:rsidR="00C52709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  <w:r w:rsidR="00825AF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="00490A24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00- 1</w:t>
            </w:r>
            <w:r w:rsidR="00825AF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</w:t>
            </w:r>
            <w:r w:rsid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  <w:r w:rsidR="00825AF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00</w:t>
            </w:r>
            <w:r w:rsid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kg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63A366D3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D3BFE" w14:textId="518954E1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pojemność silnika (zakres)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6,</w:t>
            </w:r>
            <w:r w:rsidR="0047775D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7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l- 7,2l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0BDE5F61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C87B2" w14:textId="3686EA52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Amortyzacja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="00814929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mechaniczna 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kabiny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5F3D4F4E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DCA0D" w14:textId="0FA080F7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Sygnał cofania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13E12E29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84378" w14:textId="507F89A1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Przednia oś (amortyzowana z 3 punktami podparcia</w:t>
            </w:r>
            <w:proofErr w:type="gram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)</w:t>
            </w:r>
            <w:r w:rsidR="0088011A">
              <w:t xml:space="preserve"> 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  <w:proofErr w:type="gramEnd"/>
            <w:r w:rsidR="0029230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</w:p>
        </w:tc>
      </w:tr>
      <w:tr w:rsidR="00BA3D46" w:rsidRPr="00BA3D46" w14:paraId="6992E682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48D06" w14:textId="1518D7FA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System zarządzania pracą ciągnika na </w:t>
            </w:r>
            <w:proofErr w:type="spell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uwrociach</w:t>
            </w:r>
            <w:proofErr w:type="spellEnd"/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39DD97CE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2066F" w14:textId="54512E2F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Przedni tuz </w:t>
            </w:r>
            <w:r w:rsidR="001E551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o udźwigu min: 4 </w:t>
            </w:r>
            <w:r w:rsidR="00C175AF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</w:t>
            </w:r>
            <w:r w:rsidR="001E551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00 kg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00150396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79CBE" w14:textId="0C6D72FD" w:rsidR="00BA3D46" w:rsidRPr="00BA3D46" w:rsidRDefault="00ED3E3E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Obciążnik przedni 1500 kg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01B0E083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74DCF" w14:textId="4FEAC782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Zestaw kul tylnego i przedniego TUZ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49C374D6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1A853" w14:textId="12FAF6F0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Obsługa przedniego podnośnika (TUZ)</w:t>
            </w:r>
            <w:r w:rsidR="005F502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z zewnątrz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  <w:r w:rsidR="005F502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</w:p>
        </w:tc>
      </w:tr>
      <w:tr w:rsidR="00BA3D46" w:rsidRPr="00BA3D46" w14:paraId="679622A1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609E2" w14:textId="208D245F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PRZEKŁADNIA</w:t>
            </w:r>
            <w:r w:rsidR="00F312E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proofErr w:type="gramStart"/>
            <w:r w:rsidR="00F312E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biegów 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="00595D5C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</w:t>
            </w:r>
            <w:proofErr w:type="gramEnd"/>
            <w:r w:rsidR="00595D5C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x </w:t>
            </w:r>
            <w:proofErr w:type="gramStart"/>
            <w:r w:rsidR="00595D5C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</w:t>
            </w:r>
            <w:r w:rsidR="008C795D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,  prędkość</w:t>
            </w:r>
            <w:proofErr w:type="gramEnd"/>
            <w:r w:rsidR="008C795D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40</w:t>
            </w:r>
            <w:r w:rsidR="00595D5C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KM</w:t>
            </w:r>
            <w:r w:rsidR="008C795D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/H</w:t>
            </w:r>
            <w:r w:rsidR="0023027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przy obrotach </w:t>
            </w:r>
            <w:r w:rsidR="00EB64D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nie większych niż </w:t>
            </w:r>
            <w:r w:rsidR="00956F5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1700 </w:t>
            </w:r>
            <w:proofErr w:type="spellStart"/>
            <w:r w:rsidR="00956F5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obr</w:t>
            </w:r>
            <w:proofErr w:type="spellEnd"/>
            <w:r w:rsidR="00956F5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/min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7F7F2219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B5A2D" w14:textId="3C796A25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Elektroniczny, automatyczny główny wyłącznik akumulatora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3F33F122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C0A4C" w14:textId="600C1A29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Pompa tłoczkowa o wydatku</w:t>
            </w:r>
            <w:r w:rsidR="00AC200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155</w:t>
            </w:r>
            <w:r w:rsidR="0045638F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– 170l</w:t>
            </w:r>
            <w:r w:rsidR="00AC200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/min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</w:p>
        </w:tc>
      </w:tr>
      <w:tr w:rsidR="00BA3D46" w:rsidRPr="00BA3D46" w14:paraId="603D835D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671EE" w14:textId="29728EF1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Pakiet min </w:t>
            </w:r>
            <w:r w:rsidR="00AC200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par zaworów hydrauliki zewnętrznej (elektrozaworów</w:t>
            </w:r>
            <w:proofErr w:type="gram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)</w:t>
            </w:r>
            <w:r w:rsidR="0088011A">
              <w:t xml:space="preserve"> 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  <w:proofErr w:type="gramEnd"/>
          </w:p>
        </w:tc>
      </w:tr>
      <w:tr w:rsidR="00BA3D46" w:rsidRPr="00BA3D46" w14:paraId="2F516EEE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9F464" w14:textId="45E56255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EE0000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1 para wyjść hydraulicznych z przodu ciągnika</w:t>
            </w:r>
            <w:r w:rsidR="0088011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;</w:t>
            </w:r>
          </w:p>
        </w:tc>
      </w:tr>
      <w:tr w:rsidR="00BA3D46" w:rsidRPr="00BA3D46" w14:paraId="03D22C0A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968B1" w14:textId="058F7217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Hydrauliczne cięgło górne tylne, hakowe kat. 3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0AA22775" w14:textId="77777777" w:rsidTr="00BA3D46">
        <w:trPr>
          <w:trHeight w:val="585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03807" w14:textId="5B7DF62D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Tylny TUZ sterowany elektrohydraulicznie z amortyzacją podnośnika </w:t>
            </w:r>
            <w:r w:rsidR="0045638F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o udźwigu </w:t>
            </w:r>
            <w:r w:rsidR="00521913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8 9</w:t>
            </w:r>
            <w:r w:rsidR="001C382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00</w:t>
            </w:r>
            <w:r w:rsidR="0045638F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- </w:t>
            </w:r>
            <w:r w:rsidR="00FB7995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9</w:t>
            </w:r>
            <w:r w:rsidR="002625C4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="00FB7995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95</w:t>
            </w:r>
            <w:r w:rsidR="0045638F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0</w:t>
            </w:r>
            <w:r w:rsidR="001C382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kg mierzone na końcówkach hakowych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1C394F47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06EDA" w14:textId="48ED7758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Automatyczne stabilizatory boczne tylnego TUZ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56E13BCB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32577" w14:textId="4550EE05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Zaczep rolniczy i zaczep automatyczny fi 38 mm z szyną </w:t>
            </w:r>
            <w:r w:rsidR="00DD2EEF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8</w:t>
            </w:r>
            <w:r w:rsidR="001C382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pozycyjną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6A77108D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FB45D" w14:textId="77777777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Pneumatyczny układ hamulcowy dwuobwodowy z osuszaczem powietrza;</w:t>
            </w:r>
          </w:p>
        </w:tc>
      </w:tr>
      <w:tr w:rsidR="00BA3D46" w:rsidRPr="00BA3D46" w14:paraId="71BE01EB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2D6F9" w14:textId="305A6707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Tylny </w:t>
            </w:r>
            <w:proofErr w:type="gram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WOM  </w:t>
            </w:r>
            <w:r w:rsidR="001C382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max</w:t>
            </w:r>
            <w:proofErr w:type="gramEnd"/>
            <w:r w:rsidR="001C382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 prędkośc</w:t>
            </w:r>
            <w:r w:rsidR="001C382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i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540/540E/1000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77386318" w14:textId="77777777" w:rsidTr="0088011A">
        <w:trPr>
          <w:trHeight w:val="351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9121" w14:textId="1EB3D822" w:rsidR="00BA3D46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Kabina wyposażona w: klimatyzację, radio cyfrowe DAB+, rolety przeciwsłoneczne, fotel na zawieszeniu pneumatycznym;</w:t>
            </w:r>
          </w:p>
        </w:tc>
      </w:tr>
      <w:tr w:rsidR="00BA3D46" w:rsidRPr="00BA3D46" w14:paraId="00C7FB0A" w14:textId="77777777" w:rsidTr="0088011A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9431" w14:textId="0F48D637" w:rsidR="00BA3D46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Wycieraczka przedniej, tylnej szyby</w:t>
            </w:r>
            <w:r w:rsidR="0088011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;</w:t>
            </w:r>
          </w:p>
        </w:tc>
      </w:tr>
      <w:tr w:rsidR="00BA3D46" w:rsidRPr="00BA3D46" w14:paraId="105846C6" w14:textId="77777777" w:rsidTr="0088011A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5CF1" w14:textId="111E7A3C" w:rsidR="00BA3D46" w:rsidRPr="0088011A" w:rsidRDefault="006A631A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proofErr w:type="gramStart"/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Mechanicznie </w:t>
            </w:r>
            <w:r w:rsidR="001C382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 </w:t>
            </w:r>
            <w:r w:rsidR="002508C5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regulowane</w:t>
            </w:r>
            <w:proofErr w:type="gramEnd"/>
            <w:r w:rsidR="002508C5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 </w:t>
            </w:r>
            <w:r w:rsidR="00BA3D46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 lusterkami szerokokątnymi</w:t>
            </w:r>
            <w:r w:rsidR="0088011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;</w:t>
            </w:r>
          </w:p>
        </w:tc>
      </w:tr>
      <w:tr w:rsidR="00BA3D46" w:rsidRPr="00BA3D46" w14:paraId="7CDEA44D" w14:textId="77777777" w:rsidTr="0088011A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C1E8" w14:textId="3F8E2BF0" w:rsidR="00BA3D46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Ogumienie w rozmiarze:</w:t>
            </w:r>
            <w:r w:rsidR="004B04D1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 tył</w:t>
            </w:r>
            <w:r w:rsidR="006A631A" w:rsidRPr="0088011A">
              <w:rPr>
                <w:rFonts w:ascii="Open Sans" w:hAnsi="Open Sans" w:cs="Open Sans"/>
                <w:color w:val="000000" w:themeColor="text1"/>
                <w:sz w:val="21"/>
                <w:szCs w:val="21"/>
                <w:shd w:val="clear" w:color="auto" w:fill="FFFFFF"/>
              </w:rPr>
              <w:t>710/70R42</w:t>
            </w:r>
            <w:r w:rsidR="004B04D1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, przód </w:t>
            </w:r>
            <w:r w:rsidR="00D25DEF" w:rsidRPr="0088011A">
              <w:rPr>
                <w:rFonts w:ascii="Open Sans" w:hAnsi="Open Sans" w:cs="Open Sans"/>
                <w:color w:val="000000" w:themeColor="text1"/>
                <w:sz w:val="21"/>
                <w:szCs w:val="21"/>
                <w:shd w:val="clear" w:color="auto" w:fill="F7F7F7"/>
              </w:rPr>
              <w:t>600/65R30</w:t>
            </w:r>
            <w:r w:rsidR="0088011A" w:rsidRPr="0088011A">
              <w:rPr>
                <w:rFonts w:ascii="Open Sans" w:hAnsi="Open Sans" w:cs="Open Sans"/>
                <w:color w:val="000000" w:themeColor="text1"/>
                <w:sz w:val="21"/>
                <w:szCs w:val="21"/>
                <w:shd w:val="clear" w:color="auto" w:fill="F7F7F7"/>
              </w:rPr>
              <w:t>;</w:t>
            </w:r>
          </w:p>
        </w:tc>
      </w:tr>
      <w:tr w:rsidR="00BA3D46" w:rsidRPr="00BA3D46" w14:paraId="5FA79517" w14:textId="77777777" w:rsidTr="0088011A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2566" w14:textId="07D4E20F" w:rsidR="00BA3D46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Przednie błotniki </w:t>
            </w:r>
            <w:r w:rsidR="00EE4928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sztywne</w:t>
            </w: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 o szerokości dopasowanej do rozmiaru przedniego ogumienia</w:t>
            </w:r>
            <w:r w:rsidR="0088011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;</w:t>
            </w:r>
          </w:p>
        </w:tc>
      </w:tr>
      <w:tr w:rsidR="00BA3D46" w:rsidRPr="00BA3D46" w14:paraId="5DD95AEC" w14:textId="77777777" w:rsidTr="0088011A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87CB" w14:textId="24641941" w:rsidR="00BA3D46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Tylne błotniki o szerokości dopasowanej do rozmiaru tylnego ogumienia</w:t>
            </w:r>
            <w:r w:rsidR="0088011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;</w:t>
            </w:r>
          </w:p>
        </w:tc>
      </w:tr>
      <w:tr w:rsidR="00BA3D46" w:rsidRPr="00BA3D46" w14:paraId="2EA26C07" w14:textId="77777777" w:rsidTr="0088011A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3A97" w14:textId="572AC3F9" w:rsidR="00BA3D46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Lampa błyskowa</w:t>
            </w:r>
            <w:r w:rsidR="004B04D1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 „kogut</w:t>
            </w:r>
            <w:proofErr w:type="gramStart"/>
            <w:r w:rsidR="004B04D1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” </w:t>
            </w:r>
            <w:r w:rsidR="0088011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;</w:t>
            </w:r>
            <w:proofErr w:type="gramEnd"/>
          </w:p>
        </w:tc>
      </w:tr>
      <w:tr w:rsidR="00BA3D46" w:rsidRPr="00BA3D46" w14:paraId="1836164E" w14:textId="77777777" w:rsidTr="0088011A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12B9" w14:textId="286F07D1" w:rsidR="004B04D1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Zbiornik paliwa o pojemności</w:t>
            </w:r>
            <w:r w:rsidR="000674D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 </w:t>
            </w:r>
            <w:r w:rsidR="001C2BBB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310</w:t>
            </w:r>
            <w:r w:rsidR="000674D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-</w:t>
            </w:r>
            <w:r w:rsidR="001C2BBB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3</w:t>
            </w:r>
            <w:r w:rsidR="004B04D1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80l</w:t>
            </w:r>
            <w:r w:rsidR="0088011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;</w:t>
            </w:r>
          </w:p>
        </w:tc>
      </w:tr>
      <w:tr w:rsidR="004B04D1" w:rsidRPr="00BA3D46" w14:paraId="7557C6EA" w14:textId="77777777" w:rsidTr="0088011A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898247" w14:textId="2C6E8811" w:rsidR="004B04D1" w:rsidRPr="0088011A" w:rsidRDefault="004B04D1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Zbiornik </w:t>
            </w:r>
            <w:proofErr w:type="spellStart"/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Adblue</w:t>
            </w:r>
            <w:proofErr w:type="spellEnd"/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 o pojemności maksymalnej </w:t>
            </w:r>
            <w:r w:rsidR="00B374A0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20</w:t>
            </w: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l</w:t>
            </w:r>
            <w:r w:rsidR="0088011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;</w:t>
            </w:r>
          </w:p>
        </w:tc>
      </w:tr>
      <w:tr w:rsidR="00BA3D46" w:rsidRPr="00BA3D46" w14:paraId="6EF5FD22" w14:textId="77777777" w:rsidTr="0088011A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72AB" w14:textId="79826AF3" w:rsidR="00BA3D46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Transport, pierwsze uruchomienie oraz przeszkolenie </w:t>
            </w:r>
            <w:r w:rsidR="000674D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2 </w:t>
            </w: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operatorów z obsługi ciągnika w cenie</w:t>
            </w:r>
            <w:r w:rsidR="0088011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;</w:t>
            </w:r>
          </w:p>
        </w:tc>
      </w:tr>
      <w:tr w:rsidR="00BA3D46" w:rsidRPr="00BA3D46" w14:paraId="1D29023C" w14:textId="77777777" w:rsidTr="00AD7BA7">
        <w:trPr>
          <w:trHeight w:val="401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FAA8" w14:textId="7CFBFA8F" w:rsidR="00BA3D46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lastRenderedPageBreak/>
              <w:t xml:space="preserve">Serwis gwarancyjny i pogwarancyjny wraz ze wsparciem technicznym </w:t>
            </w:r>
            <w:r w:rsidR="001C4BB7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min. 24</w:t>
            </w:r>
            <w:r w:rsidR="004B04D1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 </w:t>
            </w:r>
            <w:proofErr w:type="spellStart"/>
            <w:r w:rsidR="004B04D1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miesięc</w:t>
            </w:r>
            <w:r w:rsidR="001C4BB7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e</w:t>
            </w:r>
            <w:proofErr w:type="spellEnd"/>
            <w:r w:rsidR="0088011A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>;</w:t>
            </w:r>
            <w:r w:rsidR="004B04D1" w:rsidRPr="0088011A">
              <w:rPr>
                <w:rFonts w:ascii="Aptos Narrow" w:eastAsia="Times New Roman" w:hAnsi="Aptos Narrow" w:cs="Times New Roman"/>
                <w:color w:val="000000" w:themeColor="text1"/>
                <w:lang w:eastAsia="pl-PL"/>
              </w:rPr>
              <w:t xml:space="preserve"> </w:t>
            </w:r>
          </w:p>
        </w:tc>
      </w:tr>
      <w:tr w:rsidR="00BA3D46" w:rsidRPr="00BA3D46" w14:paraId="1F6BC9A6" w14:textId="77777777" w:rsidTr="00BA3D46">
        <w:trPr>
          <w:trHeight w:val="870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00809C7" w14:textId="5FF9DDAF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Wyświetlacz dotykowy obsługujący funkcje ciągnika oraz aplikacje rolnictwa precyzyjnego: Przekątna ekranu minimum: 12,5 cala, Rozdzielczość HD, Certyfikacja AEF ISOBUS (UT, AUX-N, TC-BAS, TC-GEO, TC-SC), możliwość obsługi minimum 3 kamer Video na wyświetlaczu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759D7DFE" w14:textId="77777777" w:rsidTr="00BA3D46">
        <w:trPr>
          <w:trHeight w:val="870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986668" w14:textId="4AF349BA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Obsługa </w:t>
            </w:r>
            <w:proofErr w:type="gram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funkcji:  automatycznej</w:t>
            </w:r>
            <w:proofErr w:type="gramEnd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kontroli sekcji, zmiennego dawkowania, automatyki nawrotów, synchronizacji pracy maszyn na polu, naprowadzania narzędzia, zapamiętywania lokalizacji rzędów wysianej uprawy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9B4160" w:rsidRPr="00BA3D46" w14:paraId="6708B4D9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F632D4" w14:textId="7212D3A2" w:rsidR="009B4160" w:rsidRPr="00BA3D46" w:rsidRDefault="0088011A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S</w:t>
            </w:r>
            <w:r w:rsidR="000674D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ystem sterowania i wymiany dwukierunkowej danych z innymi maszynami przez </w:t>
            </w:r>
            <w:proofErr w:type="spellStart"/>
            <w:r w:rsidR="000674D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Isobus</w:t>
            </w:r>
            <w:proofErr w:type="spellEnd"/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7E3D7563" w14:textId="77777777" w:rsidTr="00BA3D46">
        <w:trPr>
          <w:trHeight w:val="300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F25897" w14:textId="661F267B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Kierownica skórzana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6075E8D8" w14:textId="77777777" w:rsidTr="00BA3D46">
        <w:trPr>
          <w:trHeight w:val="585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CD63AF" w14:textId="5EC55C4F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Dodatkowy wyświetlacz o przekątnej ekranu minimum 12,5 cala pozwalający na wyświetlanie informacji dotyczących aplikacji rolnictwa precyzyjnego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37AA8FED" w14:textId="77777777" w:rsidTr="00BA3D46">
        <w:trPr>
          <w:trHeight w:val="585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6FE4D5" w14:textId="4D26A3B9" w:rsidR="00BA3D46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Bezterminowy dostęp do systemu zarządzania gospodarstwem z dwukierunkową wymianą danych z maszyną (oferta musi zawierać dostęp bez opłat w kolejnych latach</w:t>
            </w:r>
            <w:proofErr w:type="gramStart"/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)</w:t>
            </w:r>
            <w:r w:rsidR="0088011A" w:rsidRPr="0088011A">
              <w:t xml:space="preserve"> 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  <w:proofErr w:type="gramEnd"/>
          </w:p>
        </w:tc>
      </w:tr>
      <w:tr w:rsidR="00BA3D46" w:rsidRPr="00BA3D46" w14:paraId="03589BAA" w14:textId="77777777" w:rsidTr="00BA3D46">
        <w:trPr>
          <w:trHeight w:val="585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67208E" w14:textId="3C2E7B80" w:rsidR="0088011A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System </w:t>
            </w:r>
            <w:proofErr w:type="spellStart"/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telematyczny</w:t>
            </w:r>
            <w:proofErr w:type="spellEnd"/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przesyłający dane ciągnika w czasie rzeczywistym do systemu zarządzania gospodarstwem</w:t>
            </w:r>
            <w:proofErr w:type="gramStart"/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:</w:t>
            </w:r>
            <w:r w:rsidR="0088011A"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;</w:t>
            </w:r>
            <w:proofErr w:type="gramEnd"/>
          </w:p>
        </w:tc>
      </w:tr>
      <w:tr w:rsidR="00BA3D46" w:rsidRPr="00BA3D46" w14:paraId="2117F196" w14:textId="77777777" w:rsidTr="00BA3D46">
        <w:trPr>
          <w:trHeight w:val="1155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9F449C" w14:textId="5816C9F4" w:rsidR="00BA3D46" w:rsidRPr="0088011A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Przesyłanie danych ciągnika w czasie rzeczywistym do FMS: Prędkość pracy, stan ciągnika (postój, praca, transport), zużycie paliwa w l/h, zużycie paliwa w l/ha podczas wykonywanej pracy, ilość zużytego paliwa podczas pracy na danym polu, obciążenie silnika, godziny pracy silnika, dostępna na mapie pełna historia lokalizacji ciągnika</w:t>
            </w:r>
            <w:r w:rsidR="0088011A" w:rsidRPr="0088011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2F773AC7" w14:textId="77777777" w:rsidTr="00BA3D46">
        <w:trPr>
          <w:trHeight w:val="585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2D1478" w14:textId="7E6C4101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Możliwość automatycznej obsługi planu pracy systemu FMS zawierającego: granice pól, linie naprowadzania, mapę zmiennego dawkowania</w:t>
            </w:r>
            <w:r w:rsidR="0088011A"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1EC21A86" w14:textId="77777777" w:rsidTr="00BA3D46">
        <w:trPr>
          <w:trHeight w:val="585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83DD00" w14:textId="67C74EB1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Bezprzewodowy podgląd do informacji wyświetlanych na wyświetlaczu maszyny z poziomu </w:t>
            </w:r>
            <w:proofErr w:type="spell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smartfona</w:t>
            </w:r>
            <w:proofErr w:type="spellEnd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/ </w:t>
            </w:r>
            <w:proofErr w:type="spell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tableta</w:t>
            </w:r>
            <w:proofErr w:type="spellEnd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/ komputera</w:t>
            </w:r>
            <w:r w:rsidR="0088011A"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;</w:t>
            </w:r>
          </w:p>
        </w:tc>
      </w:tr>
      <w:tr w:rsidR="00BA3D46" w:rsidRPr="00BA3D46" w14:paraId="30DBB8D2" w14:textId="77777777" w:rsidTr="00BA3D46">
        <w:trPr>
          <w:trHeight w:val="585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805223" w14:textId="22A428AF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Naprowadzanie ciągnika z dokładnością</w:t>
            </w:r>
            <w:r w:rsidR="000674D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min. 2,5 cm w okresie min. 3 lat. Naprowadzanie musi mieć powtarzalność linii naprowadzania i utworzonych granic (nie może nastąpić przesunięcie</w:t>
            </w:r>
            <w:proofErr w:type="gram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)</w:t>
            </w:r>
            <w:r w:rsidR="0088011A"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;</w:t>
            </w:r>
            <w:proofErr w:type="gramEnd"/>
          </w:p>
        </w:tc>
      </w:tr>
      <w:tr w:rsidR="00BA3D46" w:rsidRPr="00BA3D46" w14:paraId="78CACE18" w14:textId="77777777" w:rsidTr="0088011A">
        <w:trPr>
          <w:trHeight w:val="770"/>
        </w:trPr>
        <w:tc>
          <w:tcPr>
            <w:tcW w:w="9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7176F" w14:textId="7A0935CC" w:rsidR="00BA3D46" w:rsidRPr="00BA3D46" w:rsidRDefault="00BA3D46" w:rsidP="00BA3D4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System umożliwiający automatyczny nawrót ciągnika na </w:t>
            </w:r>
            <w:proofErr w:type="spell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uwrociu</w:t>
            </w:r>
            <w:proofErr w:type="spellEnd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pola i wjazd w kolejną ścieżkę naprowadzania oraz możliwość zaprogramowania na </w:t>
            </w:r>
            <w:proofErr w:type="spellStart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uwrociu</w:t>
            </w:r>
            <w:proofErr w:type="spellEnd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funkcji ciągnika: Blokada mechanizmu różnicowego, </w:t>
            </w:r>
            <w:proofErr w:type="gramStart"/>
            <w:r w:rsidR="00122F6F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tylnego 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Wałk</w:t>
            </w:r>
            <w:r w:rsidR="00122F6F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a</w:t>
            </w:r>
            <w:proofErr w:type="gramEnd"/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WOM, </w:t>
            </w:r>
            <w:r w:rsidR="004F3A31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tylnego podnośnika TUZ</w:t>
            </w:r>
            <w:r w:rsidRPr="00BA3D4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.</w:t>
            </w:r>
          </w:p>
        </w:tc>
      </w:tr>
    </w:tbl>
    <w:p w14:paraId="43E71030" w14:textId="77777777" w:rsidR="007432ED" w:rsidRDefault="007432ED"/>
    <w:sectPr w:rsidR="007432E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FC20" w14:textId="77777777" w:rsidR="000D184E" w:rsidRDefault="000D184E" w:rsidP="001C4BB7">
      <w:pPr>
        <w:spacing w:after="0" w:line="240" w:lineRule="auto"/>
      </w:pPr>
      <w:r>
        <w:separator/>
      </w:r>
    </w:p>
  </w:endnote>
  <w:endnote w:type="continuationSeparator" w:id="0">
    <w:p w14:paraId="6DD4F660" w14:textId="77777777" w:rsidR="000D184E" w:rsidRDefault="000D184E" w:rsidP="001C4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47FBB" w14:textId="77777777" w:rsidR="000D184E" w:rsidRDefault="000D184E" w:rsidP="001C4BB7">
      <w:pPr>
        <w:spacing w:after="0" w:line="240" w:lineRule="auto"/>
      </w:pPr>
      <w:r>
        <w:separator/>
      </w:r>
    </w:p>
  </w:footnote>
  <w:footnote w:type="continuationSeparator" w:id="0">
    <w:p w14:paraId="2BC73471" w14:textId="77777777" w:rsidR="000D184E" w:rsidRDefault="000D184E" w:rsidP="001C4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0D69E" w14:textId="77777777" w:rsidR="001C4BB7" w:rsidRDefault="001C4BB7" w:rsidP="001C4BB7">
    <w:pPr>
      <w:pStyle w:val="Nagwek"/>
      <w:ind w:left="5812" w:hanging="5812"/>
      <w:rPr>
        <w:color w:val="156082" w:themeColor="accent1"/>
      </w:rPr>
    </w:pPr>
  </w:p>
  <w:p w14:paraId="32864F0E" w14:textId="0DF2CD22" w:rsidR="001C4BB7" w:rsidRPr="002574AD" w:rsidRDefault="001C4BB7" w:rsidP="001C4BB7">
    <w:pPr>
      <w:pStyle w:val="Nagwek"/>
      <w:tabs>
        <w:tab w:val="clear" w:pos="4536"/>
      </w:tabs>
      <w:rPr>
        <w:color w:val="0070C0"/>
      </w:rPr>
    </w:pPr>
    <w:r w:rsidRPr="00FB0684">
      <w:rPr>
        <w:color w:val="156082" w:themeColor="accent1"/>
      </w:rPr>
      <w:t xml:space="preserve">Oznaczenie sprawy: </w:t>
    </w:r>
    <w:proofErr w:type="gramStart"/>
    <w:r>
      <w:rPr>
        <w:b/>
        <w:bCs/>
        <w:color w:val="156082" w:themeColor="accent1"/>
      </w:rPr>
      <w:t>OR.ZEZG</w:t>
    </w:r>
    <w:proofErr w:type="gramEnd"/>
    <w:r>
      <w:rPr>
        <w:b/>
        <w:bCs/>
        <w:color w:val="156082" w:themeColor="accent1"/>
      </w:rPr>
      <w:t>.26.</w:t>
    </w:r>
    <w:r w:rsidR="00E07931">
      <w:rPr>
        <w:b/>
        <w:bCs/>
        <w:color w:val="156082" w:themeColor="accent1"/>
      </w:rPr>
      <w:t>28</w:t>
    </w:r>
    <w:r>
      <w:rPr>
        <w:b/>
        <w:bCs/>
        <w:color w:val="156082" w:themeColor="accent1"/>
      </w:rPr>
      <w:t>.2026</w:t>
    </w:r>
    <w:r>
      <w:tab/>
    </w:r>
    <w:r w:rsidRPr="00D97203">
      <w:rPr>
        <w:b/>
        <w:bCs/>
        <w:i/>
        <w:iCs/>
        <w:color w:val="0070C0"/>
        <w:highlight w:val="lightGray"/>
      </w:rPr>
      <w:t xml:space="preserve">Załącznik nr </w:t>
    </w:r>
    <w:r>
      <w:rPr>
        <w:b/>
        <w:bCs/>
        <w:i/>
        <w:iCs/>
        <w:color w:val="0070C0"/>
        <w:highlight w:val="lightGray"/>
      </w:rPr>
      <w:t>1.1</w:t>
    </w:r>
    <w:r w:rsidRPr="00D97203">
      <w:rPr>
        <w:b/>
        <w:bCs/>
        <w:i/>
        <w:iCs/>
        <w:color w:val="0070C0"/>
        <w:highlight w:val="lightGray"/>
      </w:rPr>
      <w:t xml:space="preserve"> do SWZ</w:t>
    </w:r>
    <w:r>
      <w:rPr>
        <w:noProof/>
      </w:rPr>
      <w:drawing>
        <wp:anchor distT="0" distB="0" distL="114300" distR="114300" simplePos="0" relativeHeight="251659264" behindDoc="0" locked="1" layoutInCell="1" allowOverlap="1" wp14:anchorId="659395E3" wp14:editId="69EA2271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403120015" name="Obraz 403120015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2EE128" w14:textId="44A17C90" w:rsidR="001C4BB7" w:rsidRDefault="001C4BB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D46"/>
    <w:rsid w:val="000674DA"/>
    <w:rsid w:val="00074155"/>
    <w:rsid w:val="000929C8"/>
    <w:rsid w:val="000B7376"/>
    <w:rsid w:val="000D184E"/>
    <w:rsid w:val="00122F6F"/>
    <w:rsid w:val="001C2BBB"/>
    <w:rsid w:val="001C382A"/>
    <w:rsid w:val="001C4BB7"/>
    <w:rsid w:val="001C557E"/>
    <w:rsid w:val="001E5517"/>
    <w:rsid w:val="001F7D5E"/>
    <w:rsid w:val="00230278"/>
    <w:rsid w:val="002508C5"/>
    <w:rsid w:val="002625C4"/>
    <w:rsid w:val="0029230A"/>
    <w:rsid w:val="003365B4"/>
    <w:rsid w:val="00385CEF"/>
    <w:rsid w:val="003D52C7"/>
    <w:rsid w:val="0045638F"/>
    <w:rsid w:val="0047775D"/>
    <w:rsid w:val="00490A24"/>
    <w:rsid w:val="004B04D1"/>
    <w:rsid w:val="004F3A31"/>
    <w:rsid w:val="0050205F"/>
    <w:rsid w:val="00521913"/>
    <w:rsid w:val="005722C8"/>
    <w:rsid w:val="0059402E"/>
    <w:rsid w:val="00595D5C"/>
    <w:rsid w:val="005D0A1F"/>
    <w:rsid w:val="005E1E01"/>
    <w:rsid w:val="005F5020"/>
    <w:rsid w:val="00617E6C"/>
    <w:rsid w:val="00640896"/>
    <w:rsid w:val="006644F9"/>
    <w:rsid w:val="006A631A"/>
    <w:rsid w:val="00701700"/>
    <w:rsid w:val="007432ED"/>
    <w:rsid w:val="007A2B4E"/>
    <w:rsid w:val="007D7F0C"/>
    <w:rsid w:val="00814929"/>
    <w:rsid w:val="00825AF8"/>
    <w:rsid w:val="0083519F"/>
    <w:rsid w:val="0088011A"/>
    <w:rsid w:val="00895EA4"/>
    <w:rsid w:val="008C795D"/>
    <w:rsid w:val="00956F5B"/>
    <w:rsid w:val="009B4160"/>
    <w:rsid w:val="00A3157E"/>
    <w:rsid w:val="00A72F72"/>
    <w:rsid w:val="00AA0304"/>
    <w:rsid w:val="00AC2008"/>
    <w:rsid w:val="00AD7BA7"/>
    <w:rsid w:val="00B26CCF"/>
    <w:rsid w:val="00B374A0"/>
    <w:rsid w:val="00B536F1"/>
    <w:rsid w:val="00B91423"/>
    <w:rsid w:val="00BA3D46"/>
    <w:rsid w:val="00BD5D48"/>
    <w:rsid w:val="00C175AF"/>
    <w:rsid w:val="00C52709"/>
    <w:rsid w:val="00C83C8F"/>
    <w:rsid w:val="00C95B82"/>
    <w:rsid w:val="00D25DEF"/>
    <w:rsid w:val="00D7010A"/>
    <w:rsid w:val="00DB6538"/>
    <w:rsid w:val="00DB7292"/>
    <w:rsid w:val="00DD2EEF"/>
    <w:rsid w:val="00E01175"/>
    <w:rsid w:val="00E0599C"/>
    <w:rsid w:val="00E07931"/>
    <w:rsid w:val="00E4608C"/>
    <w:rsid w:val="00E51378"/>
    <w:rsid w:val="00E74C15"/>
    <w:rsid w:val="00E94018"/>
    <w:rsid w:val="00EB64DB"/>
    <w:rsid w:val="00EC03E3"/>
    <w:rsid w:val="00ED3E3E"/>
    <w:rsid w:val="00EE4928"/>
    <w:rsid w:val="00F312E8"/>
    <w:rsid w:val="00FB2192"/>
    <w:rsid w:val="00FB7995"/>
    <w:rsid w:val="00FD2BD6"/>
    <w:rsid w:val="00F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1C6F"/>
  <w15:chartTrackingRefBased/>
  <w15:docId w15:val="{7346D094-114D-4EBA-887D-F89543CD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3D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3D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3D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3D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3D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3D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3D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3D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3D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3D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3D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3D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3D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3D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3D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3D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3D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3D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3D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3D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3D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3D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3D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3D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3D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3D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3D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3D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3D46"/>
    <w:rPr>
      <w:b/>
      <w:bCs/>
      <w:smallCaps/>
      <w:color w:val="0F4761" w:themeColor="accent1" w:themeShade="BF"/>
      <w:spacing w:val="5"/>
    </w:rPr>
  </w:style>
  <w:style w:type="character" w:customStyle="1" w:styleId="font61">
    <w:name w:val="font61"/>
    <w:basedOn w:val="Domylnaczcionkaakapitu"/>
    <w:rsid w:val="00BA3D46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omylnaczcionkaakapitu"/>
    <w:rsid w:val="00BA3D46"/>
    <w:rPr>
      <w:rFonts w:ascii="Aptos Narrow" w:hAnsi="Aptos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omylnaczcionkaakapitu"/>
    <w:rsid w:val="00BA3D46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Default">
    <w:name w:val="Default"/>
    <w:rsid w:val="00385C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C4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4BB7"/>
  </w:style>
  <w:style w:type="paragraph" w:styleId="Stopka">
    <w:name w:val="footer"/>
    <w:basedOn w:val="Normalny"/>
    <w:link w:val="StopkaZnak"/>
    <w:uiPriority w:val="99"/>
    <w:unhideWhenUsed/>
    <w:rsid w:val="001C4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4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d8d394-b3fe-4c08-995f-aa62e76af48d">
      <Terms xmlns="http://schemas.microsoft.com/office/infopath/2007/PartnerControls"/>
    </lcf76f155ced4ddcb4097134ff3c332f>
    <TaxCatchAll xmlns="0cc7d128-5824-4bcb-bd51-0646e881947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3E29B8AD403478554CDEE74D71246" ma:contentTypeVersion="14" ma:contentTypeDescription="Utwórz nowy dokument." ma:contentTypeScope="" ma:versionID="b87264c13d3a07dbcd962b5bdb58764d">
  <xsd:schema xmlns:xsd="http://www.w3.org/2001/XMLSchema" xmlns:xs="http://www.w3.org/2001/XMLSchema" xmlns:p="http://schemas.microsoft.com/office/2006/metadata/properties" xmlns:ns2="15d8d394-b3fe-4c08-995f-aa62e76af48d" xmlns:ns3="0cc7d128-5824-4bcb-bd51-0646e881947f" targetNamespace="http://schemas.microsoft.com/office/2006/metadata/properties" ma:root="true" ma:fieldsID="376d8380b5927e0a85bf7292b2d4e5c1" ns2:_="" ns3:_="">
    <xsd:import namespace="15d8d394-b3fe-4c08-995f-aa62e76af48d"/>
    <xsd:import namespace="0cc7d128-5824-4bcb-bd51-0646e8819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8d394-b3fe-4c08-995f-aa62e76af4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46f63a7-3d85-4f24-ac96-43e587761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7d128-5824-4bcb-bd51-0646e88194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60add6c-d454-474f-9d91-6fc5423e946d}" ma:internalName="TaxCatchAll" ma:showField="CatchAllData" ma:web="0cc7d128-5824-4bcb-bd51-0646e88194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8E812-492B-4C2A-B5FE-526CBDAB69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64D23A-C14D-4401-9803-65A5D24A9FF6}">
  <ds:schemaRefs>
    <ds:schemaRef ds:uri="http://schemas.microsoft.com/office/2006/metadata/properties"/>
    <ds:schemaRef ds:uri="http://schemas.microsoft.com/office/infopath/2007/PartnerControls"/>
    <ds:schemaRef ds:uri="15d8d394-b3fe-4c08-995f-aa62e76af48d"/>
    <ds:schemaRef ds:uri="0cc7d128-5824-4bcb-bd51-0646e881947f"/>
  </ds:schemaRefs>
</ds:datastoreItem>
</file>

<file path=customXml/itemProps3.xml><?xml version="1.0" encoding="utf-8"?>
<ds:datastoreItem xmlns:ds="http://schemas.openxmlformats.org/officeDocument/2006/customXml" ds:itemID="{7B16C1A6-C250-4620-B3B1-40111C41D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d8d394-b3fe-4c08-995f-aa62e76af48d"/>
    <ds:schemaRef ds:uri="0cc7d128-5824-4bcb-bd51-0646e8819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Michalak</dc:creator>
  <cp:keywords/>
  <dc:description/>
  <cp:lastModifiedBy>Krzysztof Maraszkiewicz</cp:lastModifiedBy>
  <cp:revision>7</cp:revision>
  <dcterms:created xsi:type="dcterms:W3CDTF">2026-03-04T10:20:00Z</dcterms:created>
  <dcterms:modified xsi:type="dcterms:W3CDTF">2026-03-31T10:30:00Z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0x0101005543E29B8AD403478554CDEE74D71246</vt:lpwstr>
  </property>
</Properties>
</file>